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F8" w:rsidRDefault="003E3FF8" w:rsidP="0059174E">
      <w:pPr>
        <w:jc w:val="center"/>
        <w:rPr>
          <w:b/>
        </w:rPr>
      </w:pPr>
      <w:r>
        <w:rPr>
          <w:b/>
        </w:rPr>
        <w:t>EQUIPMENT NEEDS ASSESSMENT APPLICATION</w:t>
      </w:r>
    </w:p>
    <w:p w:rsidR="003E3FF8" w:rsidRDefault="003E3FF8" w:rsidP="00FC3FCC">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3E3FF8" w:rsidRPr="008B3D4E" w:rsidTr="001A5532">
        <w:tc>
          <w:tcPr>
            <w:tcW w:w="4428" w:type="dxa"/>
          </w:tcPr>
          <w:p w:rsidR="003E3FF8" w:rsidRPr="008B3D4E" w:rsidRDefault="003E3FF8" w:rsidP="008B3D4E">
            <w:pPr>
              <w:jc w:val="right"/>
              <w:rPr>
                <w:rFonts w:ascii="Calibri" w:hAnsi="Calibri"/>
              </w:rPr>
            </w:pPr>
            <w:r w:rsidRPr="008B3D4E">
              <w:rPr>
                <w:rFonts w:ascii="Calibri" w:hAnsi="Calibri"/>
              </w:rPr>
              <w:t>Name of Person Submitting Request:</w:t>
            </w:r>
          </w:p>
        </w:tc>
        <w:tc>
          <w:tcPr>
            <w:tcW w:w="4428" w:type="dxa"/>
          </w:tcPr>
          <w:p w:rsidR="003E3FF8" w:rsidRPr="001A5532" w:rsidRDefault="001A5532" w:rsidP="001A5532">
            <w:pPr>
              <w:autoSpaceDE w:val="0"/>
              <w:autoSpaceDN w:val="0"/>
              <w:adjustRightInd w:val="0"/>
              <w:rPr>
                <w:b/>
                <w:sz w:val="20"/>
                <w:szCs w:val="20"/>
              </w:rPr>
            </w:pPr>
            <w:r w:rsidRPr="00F67E06">
              <w:rPr>
                <w:b/>
                <w:sz w:val="20"/>
                <w:szCs w:val="20"/>
              </w:rPr>
              <w:t>Denise Knight</w:t>
            </w:r>
          </w:p>
        </w:tc>
      </w:tr>
      <w:tr w:rsidR="003E3FF8" w:rsidRPr="008B3D4E" w:rsidTr="001A5532">
        <w:tc>
          <w:tcPr>
            <w:tcW w:w="4428" w:type="dxa"/>
          </w:tcPr>
          <w:p w:rsidR="003E3FF8" w:rsidRPr="008B3D4E" w:rsidRDefault="003E3FF8" w:rsidP="008B3D4E">
            <w:pPr>
              <w:jc w:val="right"/>
              <w:rPr>
                <w:rFonts w:ascii="Calibri" w:hAnsi="Calibri"/>
              </w:rPr>
            </w:pPr>
            <w:r w:rsidRPr="008B3D4E">
              <w:rPr>
                <w:rFonts w:ascii="Calibri" w:hAnsi="Calibri"/>
              </w:rPr>
              <w:t xml:space="preserve">Program or Service Area: </w:t>
            </w:r>
          </w:p>
        </w:tc>
        <w:tc>
          <w:tcPr>
            <w:tcW w:w="4428" w:type="dxa"/>
          </w:tcPr>
          <w:p w:rsidR="003E3FF8" w:rsidRPr="001A5532" w:rsidRDefault="001A5532" w:rsidP="001A5532">
            <w:pPr>
              <w:autoSpaceDE w:val="0"/>
              <w:autoSpaceDN w:val="0"/>
              <w:adjustRightInd w:val="0"/>
              <w:rPr>
                <w:b/>
                <w:sz w:val="20"/>
                <w:szCs w:val="20"/>
              </w:rPr>
            </w:pPr>
            <w:r w:rsidRPr="00F67E06">
              <w:rPr>
                <w:b/>
                <w:sz w:val="20"/>
                <w:szCs w:val="20"/>
              </w:rPr>
              <w:t xml:space="preserve">Child Development </w:t>
            </w:r>
          </w:p>
        </w:tc>
      </w:tr>
      <w:tr w:rsidR="003E3FF8" w:rsidRPr="008B3D4E" w:rsidTr="001A5532">
        <w:tc>
          <w:tcPr>
            <w:tcW w:w="4428" w:type="dxa"/>
          </w:tcPr>
          <w:p w:rsidR="003E3FF8" w:rsidRPr="008B3D4E" w:rsidRDefault="003E3FF8" w:rsidP="008B3D4E">
            <w:pPr>
              <w:jc w:val="right"/>
              <w:rPr>
                <w:rFonts w:ascii="Calibri" w:hAnsi="Calibri"/>
              </w:rPr>
            </w:pPr>
            <w:r w:rsidRPr="008B3D4E">
              <w:rPr>
                <w:rFonts w:ascii="Calibri" w:hAnsi="Calibri"/>
              </w:rPr>
              <w:t>Division:</w:t>
            </w:r>
          </w:p>
        </w:tc>
        <w:tc>
          <w:tcPr>
            <w:tcW w:w="4428" w:type="dxa"/>
          </w:tcPr>
          <w:p w:rsidR="003E3FF8" w:rsidRPr="001A5532" w:rsidRDefault="001A5532" w:rsidP="001A5532">
            <w:pPr>
              <w:autoSpaceDE w:val="0"/>
              <w:autoSpaceDN w:val="0"/>
              <w:adjustRightInd w:val="0"/>
              <w:rPr>
                <w:b/>
                <w:sz w:val="20"/>
                <w:szCs w:val="20"/>
              </w:rPr>
            </w:pPr>
            <w:r w:rsidRPr="00F67E06">
              <w:rPr>
                <w:b/>
                <w:sz w:val="20"/>
                <w:szCs w:val="20"/>
              </w:rPr>
              <w:t>SSHDPE</w:t>
            </w:r>
          </w:p>
        </w:tc>
      </w:tr>
      <w:tr w:rsidR="003E3FF8" w:rsidRPr="008B3D4E" w:rsidTr="001A5532">
        <w:tc>
          <w:tcPr>
            <w:tcW w:w="4428" w:type="dxa"/>
          </w:tcPr>
          <w:p w:rsidR="003E3FF8" w:rsidRPr="008B3D4E" w:rsidRDefault="003E3FF8" w:rsidP="008B3D4E">
            <w:pPr>
              <w:jc w:val="right"/>
              <w:rPr>
                <w:rFonts w:ascii="Calibri" w:hAnsi="Calibri"/>
              </w:rPr>
            </w:pPr>
            <w:r w:rsidRPr="008B3D4E">
              <w:rPr>
                <w:rFonts w:ascii="Calibri" w:hAnsi="Calibri"/>
              </w:rPr>
              <w:t>When was the last Program Efficacy document completed?</w:t>
            </w:r>
          </w:p>
        </w:tc>
        <w:tc>
          <w:tcPr>
            <w:tcW w:w="4428" w:type="dxa"/>
          </w:tcPr>
          <w:p w:rsidR="001A5532" w:rsidRPr="00F67E06" w:rsidRDefault="001A5532" w:rsidP="001A5532">
            <w:pPr>
              <w:autoSpaceDE w:val="0"/>
              <w:autoSpaceDN w:val="0"/>
              <w:adjustRightInd w:val="0"/>
              <w:rPr>
                <w:b/>
                <w:sz w:val="20"/>
                <w:szCs w:val="20"/>
              </w:rPr>
            </w:pPr>
          </w:p>
          <w:p w:rsidR="001A5532" w:rsidRPr="00F67E06" w:rsidRDefault="001A5532" w:rsidP="001A5532">
            <w:pPr>
              <w:rPr>
                <w:b/>
                <w:sz w:val="20"/>
                <w:szCs w:val="20"/>
              </w:rPr>
            </w:pPr>
            <w:r w:rsidRPr="00F67E06">
              <w:rPr>
                <w:b/>
                <w:sz w:val="20"/>
                <w:szCs w:val="20"/>
              </w:rPr>
              <w:t>Spring 2008</w:t>
            </w:r>
          </w:p>
          <w:p w:rsidR="003E3FF8" w:rsidRPr="008B3D4E" w:rsidRDefault="003E3FF8">
            <w:pPr>
              <w:rPr>
                <w:rFonts w:ascii="Calibri" w:hAnsi="Calibri"/>
                <w:b/>
              </w:rPr>
            </w:pPr>
          </w:p>
        </w:tc>
      </w:tr>
      <w:tr w:rsidR="003E3FF8" w:rsidRPr="008B3D4E" w:rsidTr="001A5532">
        <w:tc>
          <w:tcPr>
            <w:tcW w:w="4428" w:type="dxa"/>
          </w:tcPr>
          <w:p w:rsidR="003E3FF8" w:rsidRPr="008B3D4E" w:rsidRDefault="003E3FF8" w:rsidP="008B3D4E">
            <w:pPr>
              <w:jc w:val="right"/>
              <w:rPr>
                <w:rFonts w:ascii="Calibri" w:hAnsi="Calibri"/>
              </w:rPr>
            </w:pPr>
            <w:r w:rsidRPr="008B3D4E">
              <w:rPr>
                <w:rFonts w:ascii="Calibri" w:hAnsi="Calibri"/>
              </w:rPr>
              <w:t>What rating was given?</w:t>
            </w:r>
          </w:p>
        </w:tc>
        <w:tc>
          <w:tcPr>
            <w:tcW w:w="4428" w:type="dxa"/>
          </w:tcPr>
          <w:p w:rsidR="003E3FF8" w:rsidRPr="001A5532" w:rsidRDefault="001A5532">
            <w:pPr>
              <w:rPr>
                <w:sz w:val="20"/>
                <w:szCs w:val="20"/>
              </w:rPr>
            </w:pPr>
            <w:r w:rsidRPr="00F67E06">
              <w:rPr>
                <w:b/>
                <w:sz w:val="20"/>
                <w:szCs w:val="20"/>
              </w:rPr>
              <w:t>Continuation</w:t>
            </w:r>
            <w:r w:rsidRPr="00F67E06">
              <w:rPr>
                <w:sz w:val="20"/>
                <w:szCs w:val="20"/>
              </w:rPr>
              <w:t xml:space="preserve"> </w:t>
            </w:r>
          </w:p>
        </w:tc>
      </w:tr>
    </w:tbl>
    <w:p w:rsidR="003E3FF8" w:rsidRPr="002D6F81" w:rsidRDefault="003E3FF8">
      <w:pPr>
        <w:rPr>
          <w:sz w:val="22"/>
          <w:szCs w:val="22"/>
        </w:rPr>
      </w:pPr>
    </w:p>
    <w:p w:rsidR="003E3FF8" w:rsidRPr="002D6F81" w:rsidRDefault="003E3FF8" w:rsidP="00A41463">
      <w:pPr>
        <w:pStyle w:val="ListParagraph"/>
        <w:numPr>
          <w:ilvl w:val="0"/>
          <w:numId w:val="1"/>
        </w:numPr>
        <w:rPr>
          <w:sz w:val="22"/>
          <w:szCs w:val="22"/>
        </w:rPr>
      </w:pPr>
      <w:r w:rsidRPr="002D6F81">
        <w:rPr>
          <w:sz w:val="22"/>
          <w:szCs w:val="22"/>
        </w:rPr>
        <w:t xml:space="preserve">What equipment are you requesting?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E3FF8" w:rsidRPr="008B3D4E" w:rsidTr="00FA4F51">
        <w:tc>
          <w:tcPr>
            <w:tcW w:w="9576" w:type="dxa"/>
          </w:tcPr>
          <w:p w:rsidR="00BC15F0" w:rsidRDefault="00EE1C82" w:rsidP="00EE1C82">
            <w:pPr>
              <w:autoSpaceDE w:val="0"/>
              <w:autoSpaceDN w:val="0"/>
              <w:adjustRightInd w:val="0"/>
              <w:rPr>
                <w:sz w:val="20"/>
                <w:szCs w:val="20"/>
              </w:rPr>
            </w:pPr>
            <w:r w:rsidRPr="00243290">
              <w:rPr>
                <w:sz w:val="20"/>
                <w:szCs w:val="20"/>
              </w:rPr>
              <w:t>The Child Development department has an academic as well as</w:t>
            </w:r>
            <w:r w:rsidR="0028496B">
              <w:rPr>
                <w:sz w:val="20"/>
                <w:szCs w:val="20"/>
              </w:rPr>
              <w:t xml:space="preserve"> </w:t>
            </w:r>
            <w:r w:rsidRPr="00243290">
              <w:rPr>
                <w:sz w:val="20"/>
                <w:szCs w:val="20"/>
              </w:rPr>
              <w:t xml:space="preserve">vocational orientation. The academic program prepares students </w:t>
            </w:r>
            <w:r>
              <w:rPr>
                <w:sz w:val="20"/>
                <w:szCs w:val="20"/>
              </w:rPr>
              <w:t xml:space="preserve">for </w:t>
            </w:r>
            <w:r w:rsidRPr="00243290">
              <w:rPr>
                <w:sz w:val="20"/>
                <w:szCs w:val="20"/>
              </w:rPr>
              <w:t>Associate of Arts degrees that articulate with educational institutions</w:t>
            </w:r>
            <w:r>
              <w:rPr>
                <w:sz w:val="20"/>
                <w:szCs w:val="20"/>
              </w:rPr>
              <w:t xml:space="preserve"> </w:t>
            </w:r>
            <w:r w:rsidRPr="00243290">
              <w:rPr>
                <w:sz w:val="20"/>
                <w:szCs w:val="20"/>
              </w:rPr>
              <w:t xml:space="preserve">that offer BS/BA </w:t>
            </w:r>
            <w:r>
              <w:rPr>
                <w:sz w:val="20"/>
                <w:szCs w:val="20"/>
              </w:rPr>
              <w:t>degrees in Child Development</w:t>
            </w:r>
            <w:r w:rsidRPr="00243290">
              <w:rPr>
                <w:sz w:val="20"/>
                <w:szCs w:val="20"/>
              </w:rPr>
              <w:t>. The vocational</w:t>
            </w:r>
            <w:r>
              <w:rPr>
                <w:sz w:val="20"/>
                <w:szCs w:val="20"/>
              </w:rPr>
              <w:t xml:space="preserve"> </w:t>
            </w:r>
            <w:r w:rsidRPr="00243290">
              <w:rPr>
                <w:sz w:val="20"/>
                <w:szCs w:val="20"/>
              </w:rPr>
              <w:t>program which interfaces with the academic program allows students</w:t>
            </w:r>
            <w:r>
              <w:rPr>
                <w:sz w:val="20"/>
                <w:szCs w:val="20"/>
              </w:rPr>
              <w:t xml:space="preserve"> </w:t>
            </w:r>
            <w:r w:rsidRPr="00243290">
              <w:rPr>
                <w:sz w:val="20"/>
                <w:szCs w:val="20"/>
              </w:rPr>
              <w:t>to develop skills suitable for immediate employment. The certificate</w:t>
            </w:r>
            <w:r>
              <w:rPr>
                <w:sz w:val="20"/>
                <w:szCs w:val="20"/>
              </w:rPr>
              <w:t xml:space="preserve"> </w:t>
            </w:r>
            <w:r w:rsidRPr="00243290">
              <w:rPr>
                <w:sz w:val="20"/>
                <w:szCs w:val="20"/>
              </w:rPr>
              <w:t>programs provide a well-rounded, concentrated area of study in child</w:t>
            </w:r>
            <w:r>
              <w:rPr>
                <w:sz w:val="20"/>
                <w:szCs w:val="20"/>
              </w:rPr>
              <w:t xml:space="preserve"> </w:t>
            </w:r>
            <w:r w:rsidRPr="00243290">
              <w:rPr>
                <w:sz w:val="20"/>
                <w:szCs w:val="20"/>
              </w:rPr>
              <w:t>development. At the present time, the department has eight</w:t>
            </w:r>
            <w:r>
              <w:rPr>
                <w:sz w:val="20"/>
                <w:szCs w:val="20"/>
              </w:rPr>
              <w:t xml:space="preserve"> </w:t>
            </w:r>
            <w:r w:rsidRPr="00243290">
              <w:rPr>
                <w:sz w:val="20"/>
                <w:szCs w:val="20"/>
              </w:rPr>
              <w:t>certificates and three AA degrees. The department functions to</w:t>
            </w:r>
            <w:r>
              <w:rPr>
                <w:sz w:val="20"/>
                <w:szCs w:val="20"/>
              </w:rPr>
              <w:t xml:space="preserve"> </w:t>
            </w:r>
            <w:r w:rsidRPr="00243290">
              <w:rPr>
                <w:sz w:val="20"/>
                <w:szCs w:val="20"/>
              </w:rPr>
              <w:t>provide the academic foundation necessary for students to become</w:t>
            </w:r>
            <w:r>
              <w:rPr>
                <w:sz w:val="20"/>
                <w:szCs w:val="20"/>
              </w:rPr>
              <w:t xml:space="preserve"> </w:t>
            </w:r>
            <w:r w:rsidRPr="00243290">
              <w:rPr>
                <w:sz w:val="20"/>
                <w:szCs w:val="20"/>
              </w:rPr>
              <w:t xml:space="preserve">successful providers of early childhood care and education. </w:t>
            </w:r>
          </w:p>
          <w:p w:rsidR="00BC15F0" w:rsidRDefault="00BC15F0" w:rsidP="00EE1C82">
            <w:pPr>
              <w:autoSpaceDE w:val="0"/>
              <w:autoSpaceDN w:val="0"/>
              <w:adjustRightInd w:val="0"/>
              <w:rPr>
                <w:sz w:val="20"/>
                <w:szCs w:val="20"/>
              </w:rPr>
            </w:pPr>
          </w:p>
          <w:p w:rsidR="00EE1C82" w:rsidRPr="00AF3400" w:rsidRDefault="00EE1C82" w:rsidP="00EE1C82">
            <w:pPr>
              <w:autoSpaceDE w:val="0"/>
              <w:autoSpaceDN w:val="0"/>
              <w:adjustRightInd w:val="0"/>
              <w:rPr>
                <w:sz w:val="20"/>
                <w:szCs w:val="20"/>
              </w:rPr>
            </w:pPr>
            <w:r>
              <w:rPr>
                <w:sz w:val="20"/>
                <w:szCs w:val="20"/>
              </w:rPr>
              <w:t xml:space="preserve">In the summer of 2010 the Child Development Department was relocated from North Hall to the North Hall Replacement. The greatest loss in this move has been adequate storage. In the old North Hall building the Child Development Department had a combined storage capacity in excess of 750 square feet. This capacity included </w:t>
            </w:r>
            <w:r w:rsidR="007F2EF2">
              <w:rPr>
                <w:sz w:val="20"/>
                <w:szCs w:val="20"/>
              </w:rPr>
              <w:t xml:space="preserve">a resource room, two storage closets with </w:t>
            </w:r>
            <w:r w:rsidR="006832EF">
              <w:rPr>
                <w:sz w:val="20"/>
                <w:szCs w:val="20"/>
              </w:rPr>
              <w:t xml:space="preserve">built-in </w:t>
            </w:r>
            <w:r>
              <w:rPr>
                <w:sz w:val="20"/>
                <w:szCs w:val="20"/>
              </w:rPr>
              <w:t xml:space="preserve">shelving, </w:t>
            </w:r>
            <w:r w:rsidR="007F2EF2">
              <w:rPr>
                <w:sz w:val="20"/>
                <w:szCs w:val="20"/>
              </w:rPr>
              <w:t xml:space="preserve">Rubbermaid </w:t>
            </w:r>
            <w:r w:rsidR="006832EF">
              <w:rPr>
                <w:sz w:val="20"/>
                <w:szCs w:val="20"/>
              </w:rPr>
              <w:t xml:space="preserve">storage </w:t>
            </w:r>
            <w:r>
              <w:rPr>
                <w:sz w:val="20"/>
                <w:szCs w:val="20"/>
              </w:rPr>
              <w:t xml:space="preserve">cabinets, </w:t>
            </w:r>
            <w:r w:rsidR="006832EF">
              <w:rPr>
                <w:sz w:val="20"/>
                <w:szCs w:val="20"/>
              </w:rPr>
              <w:t xml:space="preserve">closets, cupboards, </w:t>
            </w:r>
            <w:r>
              <w:rPr>
                <w:sz w:val="20"/>
                <w:szCs w:val="20"/>
              </w:rPr>
              <w:t xml:space="preserve">drawers </w:t>
            </w:r>
            <w:r w:rsidR="006832EF">
              <w:rPr>
                <w:sz w:val="20"/>
                <w:szCs w:val="20"/>
              </w:rPr>
              <w:t xml:space="preserve">etc. The new North Hall has </w:t>
            </w:r>
            <w:r w:rsidR="00BC15F0">
              <w:rPr>
                <w:sz w:val="20"/>
                <w:szCs w:val="20"/>
              </w:rPr>
              <w:t xml:space="preserve">room for storage in the classroom </w:t>
            </w:r>
            <w:r w:rsidR="007F2EF2">
              <w:rPr>
                <w:sz w:val="20"/>
                <w:szCs w:val="20"/>
              </w:rPr>
              <w:t xml:space="preserve">(approximately equivalent to what was available in the old North Hall classrooms) as well as </w:t>
            </w:r>
            <w:r w:rsidR="00630E73">
              <w:rPr>
                <w:sz w:val="20"/>
                <w:szCs w:val="20"/>
              </w:rPr>
              <w:t>two</w:t>
            </w:r>
            <w:r w:rsidR="006832EF">
              <w:rPr>
                <w:sz w:val="20"/>
                <w:szCs w:val="20"/>
              </w:rPr>
              <w:t xml:space="preserve"> </w:t>
            </w:r>
            <w:r w:rsidR="00386237">
              <w:rPr>
                <w:sz w:val="20"/>
                <w:szCs w:val="20"/>
              </w:rPr>
              <w:t xml:space="preserve">empty rooms </w:t>
            </w:r>
            <w:r w:rsidR="00FE5A93">
              <w:rPr>
                <w:sz w:val="20"/>
                <w:szCs w:val="20"/>
              </w:rPr>
              <w:t xml:space="preserve">NHR 219 and 220 </w:t>
            </w:r>
            <w:r w:rsidR="006832EF">
              <w:rPr>
                <w:sz w:val="20"/>
                <w:szCs w:val="20"/>
              </w:rPr>
              <w:t xml:space="preserve">designated </w:t>
            </w:r>
            <w:r w:rsidR="00386237">
              <w:rPr>
                <w:sz w:val="20"/>
                <w:szCs w:val="20"/>
              </w:rPr>
              <w:t xml:space="preserve">for </w:t>
            </w:r>
            <w:r w:rsidR="00BC15F0">
              <w:rPr>
                <w:sz w:val="20"/>
                <w:szCs w:val="20"/>
              </w:rPr>
              <w:t xml:space="preserve">additional </w:t>
            </w:r>
            <w:r w:rsidR="006832EF">
              <w:rPr>
                <w:sz w:val="20"/>
                <w:szCs w:val="20"/>
              </w:rPr>
              <w:t>storage</w:t>
            </w:r>
            <w:r w:rsidR="00176C34">
              <w:rPr>
                <w:sz w:val="20"/>
                <w:szCs w:val="20"/>
              </w:rPr>
              <w:t>.</w:t>
            </w:r>
            <w:r w:rsidR="006832EF">
              <w:rPr>
                <w:sz w:val="20"/>
                <w:szCs w:val="20"/>
              </w:rPr>
              <w:t xml:space="preserve"> </w:t>
            </w:r>
            <w:r w:rsidR="00176C34">
              <w:rPr>
                <w:sz w:val="20"/>
                <w:szCs w:val="20"/>
              </w:rPr>
              <w:t>U</w:t>
            </w:r>
            <w:r w:rsidR="00BC15F0">
              <w:rPr>
                <w:sz w:val="20"/>
                <w:szCs w:val="20"/>
              </w:rPr>
              <w:t xml:space="preserve">nfortunately these two rooms </w:t>
            </w:r>
            <w:r w:rsidR="00730EEA">
              <w:rPr>
                <w:sz w:val="20"/>
                <w:szCs w:val="20"/>
              </w:rPr>
              <w:t xml:space="preserve">together </w:t>
            </w:r>
            <w:r w:rsidR="00BC15F0">
              <w:rPr>
                <w:sz w:val="20"/>
                <w:szCs w:val="20"/>
              </w:rPr>
              <w:t>only total approximately 250 square feet</w:t>
            </w:r>
            <w:r w:rsidR="007F2EF2">
              <w:rPr>
                <w:sz w:val="20"/>
                <w:szCs w:val="20"/>
              </w:rPr>
              <w:t xml:space="preserve">. There is </w:t>
            </w:r>
            <w:r w:rsidR="00176C34">
              <w:rPr>
                <w:sz w:val="20"/>
                <w:szCs w:val="20"/>
              </w:rPr>
              <w:t>mounted shelving and five Rubbermaid units we brought from the old North Hall in NHR 219 and two additional Rubbermaid units in NHR 220.</w:t>
            </w:r>
            <w:r w:rsidR="007F2EF2">
              <w:rPr>
                <w:sz w:val="20"/>
                <w:szCs w:val="20"/>
              </w:rPr>
              <w:t xml:space="preserve"> Although we have taken seven Rubbermaid units from the old North Hall we were only able to reduce </w:t>
            </w:r>
            <w:r w:rsidR="00176C34">
              <w:rPr>
                <w:sz w:val="20"/>
                <w:szCs w:val="20"/>
              </w:rPr>
              <w:t xml:space="preserve">the number of </w:t>
            </w:r>
            <w:r w:rsidR="007F2EF2">
              <w:rPr>
                <w:sz w:val="20"/>
                <w:szCs w:val="20"/>
              </w:rPr>
              <w:t xml:space="preserve">boxes </w:t>
            </w:r>
            <w:r w:rsidR="00176C34">
              <w:rPr>
                <w:sz w:val="20"/>
                <w:szCs w:val="20"/>
              </w:rPr>
              <w:t>f</w:t>
            </w:r>
            <w:r w:rsidR="00C3351F">
              <w:rPr>
                <w:sz w:val="20"/>
                <w:szCs w:val="20"/>
              </w:rPr>
              <w:t>ro</w:t>
            </w:r>
            <w:r w:rsidR="00176C34">
              <w:rPr>
                <w:sz w:val="20"/>
                <w:szCs w:val="20"/>
              </w:rPr>
              <w:t xml:space="preserve">m </w:t>
            </w:r>
            <w:r w:rsidR="00FE5A93">
              <w:rPr>
                <w:sz w:val="20"/>
                <w:szCs w:val="20"/>
              </w:rPr>
              <w:t>over 250 to just under 90. There i</w:t>
            </w:r>
            <w:r w:rsidR="00386237">
              <w:rPr>
                <w:sz w:val="20"/>
                <w:szCs w:val="20"/>
              </w:rPr>
              <w:t>s no built-in shelving</w:t>
            </w:r>
            <w:r w:rsidR="00D5621F">
              <w:rPr>
                <w:sz w:val="20"/>
                <w:szCs w:val="20"/>
              </w:rPr>
              <w:t xml:space="preserve"> </w:t>
            </w:r>
            <w:r w:rsidR="006832EF">
              <w:rPr>
                <w:sz w:val="20"/>
                <w:szCs w:val="20"/>
              </w:rPr>
              <w:t xml:space="preserve">to </w:t>
            </w:r>
            <w:r w:rsidR="00630E73">
              <w:rPr>
                <w:sz w:val="20"/>
                <w:szCs w:val="20"/>
              </w:rPr>
              <w:t>accommodate the curriculum materials currently being stored in</w:t>
            </w:r>
            <w:r w:rsidR="00FD113C">
              <w:rPr>
                <w:sz w:val="20"/>
                <w:szCs w:val="20"/>
              </w:rPr>
              <w:t xml:space="preserve"> </w:t>
            </w:r>
            <w:r w:rsidR="00FE5A93">
              <w:rPr>
                <w:sz w:val="20"/>
                <w:szCs w:val="20"/>
              </w:rPr>
              <w:t>the remaining 90 boxes</w:t>
            </w:r>
            <w:r w:rsidR="006832EF">
              <w:rPr>
                <w:sz w:val="20"/>
                <w:szCs w:val="20"/>
              </w:rPr>
              <w:t xml:space="preserve">. We would like to request </w:t>
            </w:r>
            <w:r>
              <w:rPr>
                <w:sz w:val="20"/>
                <w:szCs w:val="20"/>
              </w:rPr>
              <w:t xml:space="preserve"> </w:t>
            </w:r>
            <w:r w:rsidR="00D5621F">
              <w:rPr>
                <w:sz w:val="20"/>
                <w:szCs w:val="20"/>
              </w:rPr>
              <w:t>two 72</w:t>
            </w:r>
            <w:r w:rsidR="00FE5A93">
              <w:rPr>
                <w:sz w:val="20"/>
                <w:szCs w:val="20"/>
              </w:rPr>
              <w:t>h</w:t>
            </w:r>
            <w:r w:rsidR="00D5621F">
              <w:rPr>
                <w:sz w:val="20"/>
                <w:szCs w:val="20"/>
              </w:rPr>
              <w:t>x24</w:t>
            </w:r>
            <w:r w:rsidR="00FE5A93">
              <w:rPr>
                <w:sz w:val="20"/>
                <w:szCs w:val="20"/>
              </w:rPr>
              <w:t>d</w:t>
            </w:r>
            <w:r w:rsidR="00D5621F">
              <w:rPr>
                <w:sz w:val="20"/>
                <w:szCs w:val="20"/>
              </w:rPr>
              <w:t>x72</w:t>
            </w:r>
            <w:r w:rsidR="00FE5A93">
              <w:rPr>
                <w:sz w:val="20"/>
                <w:szCs w:val="20"/>
              </w:rPr>
              <w:t>w</w:t>
            </w:r>
            <w:r w:rsidR="00D5621F">
              <w:rPr>
                <w:sz w:val="20"/>
                <w:szCs w:val="20"/>
              </w:rPr>
              <w:t xml:space="preserve"> shelving units </w:t>
            </w:r>
            <w:r w:rsidR="00EE77E3">
              <w:rPr>
                <w:sz w:val="20"/>
                <w:szCs w:val="20"/>
              </w:rPr>
              <w:t xml:space="preserve">at $138.97 </w:t>
            </w:r>
            <w:r w:rsidR="00FA4F51">
              <w:rPr>
                <w:sz w:val="20"/>
                <w:szCs w:val="20"/>
              </w:rPr>
              <w:t xml:space="preserve">(one for each room) </w:t>
            </w:r>
            <w:r w:rsidR="00D5621F">
              <w:rPr>
                <w:sz w:val="20"/>
                <w:szCs w:val="20"/>
              </w:rPr>
              <w:t>and four 36</w:t>
            </w:r>
            <w:r w:rsidR="00FE5A93">
              <w:rPr>
                <w:sz w:val="20"/>
                <w:szCs w:val="20"/>
              </w:rPr>
              <w:t>h</w:t>
            </w:r>
            <w:r w:rsidR="00D5621F">
              <w:rPr>
                <w:sz w:val="20"/>
                <w:szCs w:val="20"/>
              </w:rPr>
              <w:t xml:space="preserve"> x16.58</w:t>
            </w:r>
            <w:r w:rsidR="00C3351F">
              <w:rPr>
                <w:sz w:val="20"/>
                <w:szCs w:val="20"/>
              </w:rPr>
              <w:t>d</w:t>
            </w:r>
            <w:r w:rsidR="00D5621F">
              <w:rPr>
                <w:sz w:val="20"/>
                <w:szCs w:val="20"/>
              </w:rPr>
              <w:t xml:space="preserve"> x33</w:t>
            </w:r>
            <w:r w:rsidR="00C3351F">
              <w:rPr>
                <w:sz w:val="20"/>
                <w:szCs w:val="20"/>
              </w:rPr>
              <w:t>w</w:t>
            </w:r>
            <w:r w:rsidR="00D5621F">
              <w:rPr>
                <w:sz w:val="20"/>
                <w:szCs w:val="20"/>
              </w:rPr>
              <w:t xml:space="preserve"> storage units on wheels</w:t>
            </w:r>
            <w:r w:rsidR="00FA4F51">
              <w:rPr>
                <w:sz w:val="20"/>
                <w:szCs w:val="20"/>
              </w:rPr>
              <w:t xml:space="preserve"> </w:t>
            </w:r>
            <w:r w:rsidR="00D5621F">
              <w:rPr>
                <w:sz w:val="20"/>
                <w:szCs w:val="20"/>
              </w:rPr>
              <w:t xml:space="preserve"> </w:t>
            </w:r>
            <w:r w:rsidR="00FA4F51">
              <w:rPr>
                <w:sz w:val="20"/>
                <w:szCs w:val="20"/>
              </w:rPr>
              <w:t xml:space="preserve">at 79.97 (two for each room) for an approximate total of $650.13. </w:t>
            </w:r>
          </w:p>
          <w:p w:rsidR="003E3FF8" w:rsidRPr="008B3D4E" w:rsidRDefault="003E3FF8" w:rsidP="00A41463">
            <w:pPr>
              <w:rPr>
                <w:sz w:val="22"/>
                <w:szCs w:val="22"/>
              </w:rPr>
            </w:pPr>
          </w:p>
        </w:tc>
      </w:tr>
    </w:tbl>
    <w:p w:rsidR="003E3FF8" w:rsidRPr="002D6F81" w:rsidRDefault="003E3FF8" w:rsidP="00A41463">
      <w:pPr>
        <w:rPr>
          <w:sz w:val="22"/>
          <w:szCs w:val="22"/>
        </w:rPr>
      </w:pPr>
    </w:p>
    <w:p w:rsidR="003E3FF8" w:rsidRPr="002D6F81" w:rsidRDefault="003E3FF8" w:rsidP="00931A6E">
      <w:pPr>
        <w:pStyle w:val="ListParagraph"/>
        <w:numPr>
          <w:ilvl w:val="0"/>
          <w:numId w:val="1"/>
        </w:numPr>
        <w:rPr>
          <w:i/>
          <w:sz w:val="22"/>
          <w:szCs w:val="22"/>
        </w:rPr>
      </w:pPr>
      <w:r w:rsidRPr="002D6F81">
        <w:rPr>
          <w:sz w:val="22"/>
          <w:szCs w:val="22"/>
        </w:rPr>
        <w:t xml:space="preserve">Indicate how the content of the EMP One-Sheet and latest Program Efficacy Report support this request. How is the request tied to program planning? </w:t>
      </w:r>
      <w:r w:rsidRPr="002D6F81">
        <w:rPr>
          <w:i/>
          <w:sz w:val="22"/>
          <w:szCs w:val="22"/>
        </w:rPr>
        <w:t>(please reference the page number(s) where the information can be found on the EMP and Program Efficacy).</w:t>
      </w:r>
    </w:p>
    <w:p w:rsidR="003E3FF8" w:rsidRPr="002D6F81" w:rsidRDefault="003E3FF8" w:rsidP="002D6F81">
      <w:pPr>
        <w:pStyle w:val="ListParagrap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E3FF8" w:rsidRPr="008B3D4E" w:rsidTr="006E4BD6">
        <w:tc>
          <w:tcPr>
            <w:tcW w:w="9576" w:type="dxa"/>
          </w:tcPr>
          <w:p w:rsidR="003E3FF8" w:rsidRPr="008B3D4E" w:rsidRDefault="00BA6AB0">
            <w:pPr>
              <w:rPr>
                <w:sz w:val="22"/>
                <w:szCs w:val="22"/>
              </w:rPr>
            </w:pPr>
            <w:r>
              <w:rPr>
                <w:sz w:val="20"/>
                <w:szCs w:val="20"/>
              </w:rPr>
              <w:t xml:space="preserve"> </w:t>
            </w:r>
            <w:r w:rsidR="00D5621F">
              <w:rPr>
                <w:sz w:val="20"/>
                <w:szCs w:val="20"/>
              </w:rPr>
              <w:t xml:space="preserve">The current analysis of the </w:t>
            </w:r>
            <w:r w:rsidR="00B36280">
              <w:rPr>
                <w:sz w:val="20"/>
                <w:szCs w:val="20"/>
              </w:rPr>
              <w:t xml:space="preserve">EMP </w:t>
            </w:r>
            <w:r w:rsidR="006E4BD6">
              <w:rPr>
                <w:sz w:val="20"/>
                <w:szCs w:val="20"/>
              </w:rPr>
              <w:t xml:space="preserve">data (pg 31) </w:t>
            </w:r>
            <w:r w:rsidR="00D5621F">
              <w:rPr>
                <w:sz w:val="20"/>
                <w:szCs w:val="20"/>
              </w:rPr>
              <w:t xml:space="preserve">indicates that the </w:t>
            </w:r>
            <w:r w:rsidR="00B36280">
              <w:rPr>
                <w:sz w:val="20"/>
                <w:szCs w:val="20"/>
              </w:rPr>
              <w:t xml:space="preserve">FTES have steadily been increasing </w:t>
            </w:r>
            <w:r w:rsidR="006E4BD6">
              <w:rPr>
                <w:sz w:val="20"/>
                <w:szCs w:val="20"/>
              </w:rPr>
              <w:t xml:space="preserve">since our section reduction in 2006-2007. Our retention rates are consistent with the college/division and the number of certificates and degrees awarded are </w:t>
            </w:r>
            <w:r w:rsidR="00FA4F51">
              <w:rPr>
                <w:sz w:val="20"/>
                <w:szCs w:val="20"/>
              </w:rPr>
              <w:t>on the increase</w:t>
            </w:r>
            <w:r w:rsidR="006E4BD6">
              <w:rPr>
                <w:sz w:val="20"/>
                <w:szCs w:val="20"/>
              </w:rPr>
              <w:t xml:space="preserve">. SLOS </w:t>
            </w:r>
            <w:r w:rsidR="00FA4F51">
              <w:rPr>
                <w:sz w:val="20"/>
                <w:szCs w:val="20"/>
              </w:rPr>
              <w:t xml:space="preserve">have been completed for every course and all </w:t>
            </w:r>
            <w:r w:rsidR="006E4BD6">
              <w:rPr>
                <w:sz w:val="20"/>
                <w:szCs w:val="20"/>
              </w:rPr>
              <w:t>assessments are up-to date</w:t>
            </w:r>
            <w:r w:rsidR="00FA4F51">
              <w:rPr>
                <w:sz w:val="20"/>
                <w:szCs w:val="20"/>
              </w:rPr>
              <w:t>. W</w:t>
            </w:r>
            <w:r w:rsidR="006E4BD6">
              <w:rPr>
                <w:sz w:val="20"/>
                <w:szCs w:val="20"/>
              </w:rPr>
              <w:t>e anticipate continued growth in the future.</w:t>
            </w:r>
          </w:p>
        </w:tc>
      </w:tr>
    </w:tbl>
    <w:p w:rsidR="003E3FF8" w:rsidRPr="002D6F81" w:rsidRDefault="003E3FF8" w:rsidP="00E06E60">
      <w:pPr>
        <w:pStyle w:val="ListParagraph"/>
        <w:rPr>
          <w:sz w:val="22"/>
          <w:szCs w:val="22"/>
        </w:rPr>
      </w:pPr>
    </w:p>
    <w:p w:rsidR="003E3FF8" w:rsidRPr="002D6F81" w:rsidRDefault="003E3FF8" w:rsidP="00BB6C68">
      <w:pPr>
        <w:pStyle w:val="ListParagraph"/>
        <w:numPr>
          <w:ilvl w:val="0"/>
          <w:numId w:val="1"/>
        </w:numPr>
        <w:rPr>
          <w:sz w:val="22"/>
          <w:szCs w:val="22"/>
        </w:rPr>
      </w:pPr>
      <w:r w:rsidRPr="002D6F81">
        <w:rPr>
          <w:sz w:val="22"/>
          <w:szCs w:val="22"/>
        </w:rPr>
        <w:t>Indicate if there is additional information you wish the committee to consider (regulatory information, compliance etc).</w:t>
      </w:r>
    </w:p>
    <w:p w:rsidR="003E3FF8" w:rsidRPr="002D6F81" w:rsidRDefault="003E3FF8" w:rsidP="00E06E60">
      <w:pPr>
        <w:pStyle w:val="ListParagraph"/>
        <w:ind w:left="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E3FF8" w:rsidRPr="008B3D4E" w:rsidTr="00BA6AB0">
        <w:tc>
          <w:tcPr>
            <w:tcW w:w="9576" w:type="dxa"/>
          </w:tcPr>
          <w:p w:rsidR="003E3FF8" w:rsidRPr="008B3D4E" w:rsidRDefault="00BA6AB0">
            <w:pPr>
              <w:rPr>
                <w:sz w:val="22"/>
                <w:szCs w:val="22"/>
              </w:rPr>
            </w:pPr>
            <w:r>
              <w:rPr>
                <w:sz w:val="20"/>
                <w:szCs w:val="20"/>
              </w:rPr>
              <w:t xml:space="preserve">An integral part of the certificates and degrees the Child Development Department offers are curriculum classes. These courses allow faculty to demonstrate developmentally appropriate practices to our Child Development students. These “best practices” show our students how to enhance the learning process through hands on experiences. We currently teach six sections of CD 114, four sections of CD 205 and one section of CD </w:t>
            </w:r>
            <w:r w:rsidR="005676C5">
              <w:rPr>
                <w:sz w:val="20"/>
                <w:szCs w:val="20"/>
              </w:rPr>
              <w:t>074,</w:t>
            </w:r>
            <w:r>
              <w:rPr>
                <w:sz w:val="20"/>
                <w:szCs w:val="20"/>
              </w:rPr>
              <w:t xml:space="preserve">130, 133, 134, 136, 138, </w:t>
            </w:r>
            <w:r w:rsidR="005676C5">
              <w:rPr>
                <w:sz w:val="20"/>
                <w:szCs w:val="20"/>
              </w:rPr>
              <w:t>161,168,</w:t>
            </w:r>
            <w:r>
              <w:rPr>
                <w:sz w:val="20"/>
                <w:szCs w:val="20"/>
              </w:rPr>
              <w:t>18</w:t>
            </w:r>
            <w:r w:rsidR="005676C5">
              <w:rPr>
                <w:sz w:val="20"/>
                <w:szCs w:val="20"/>
              </w:rPr>
              <w:t>6</w:t>
            </w:r>
            <w:r>
              <w:rPr>
                <w:sz w:val="20"/>
                <w:szCs w:val="20"/>
              </w:rPr>
              <w:t xml:space="preserve"> and 210</w:t>
            </w:r>
            <w:r w:rsidR="005676C5">
              <w:rPr>
                <w:sz w:val="20"/>
                <w:szCs w:val="20"/>
              </w:rPr>
              <w:t>, 215</w:t>
            </w:r>
            <w:r>
              <w:rPr>
                <w:sz w:val="20"/>
                <w:szCs w:val="20"/>
              </w:rPr>
              <w:t xml:space="preserve"> annually. It is these classes that utilize the hands on materials currently awaiting shelving. In the past students had ready access to the curriculum materials housed in our storage areas. The items were labeled and in many cases color coded for easy access</w:t>
            </w:r>
            <w:r w:rsidR="000F7F27">
              <w:rPr>
                <w:sz w:val="20"/>
                <w:szCs w:val="20"/>
              </w:rPr>
              <w:t xml:space="preserve">. </w:t>
            </w:r>
            <w:r w:rsidR="00730EEA">
              <w:rPr>
                <w:sz w:val="20"/>
                <w:szCs w:val="20"/>
              </w:rPr>
              <w:t xml:space="preserve">Most instructors </w:t>
            </w:r>
            <w:r w:rsidR="0028496B">
              <w:rPr>
                <w:sz w:val="20"/>
                <w:szCs w:val="20"/>
              </w:rPr>
              <w:t>require s</w:t>
            </w:r>
            <w:r w:rsidR="000F7F27">
              <w:rPr>
                <w:sz w:val="20"/>
                <w:szCs w:val="20"/>
              </w:rPr>
              <w:t>tudents to plan</w:t>
            </w:r>
            <w:r w:rsidR="00730EEA">
              <w:rPr>
                <w:sz w:val="20"/>
                <w:szCs w:val="20"/>
              </w:rPr>
              <w:t xml:space="preserve"> a minimum of five</w:t>
            </w:r>
            <w:r w:rsidR="000F7F27">
              <w:rPr>
                <w:sz w:val="20"/>
                <w:szCs w:val="20"/>
              </w:rPr>
              <w:t xml:space="preserve"> developmentally appropriate activities around a central them</w:t>
            </w:r>
            <w:r w:rsidR="00730EEA">
              <w:rPr>
                <w:sz w:val="20"/>
                <w:szCs w:val="20"/>
              </w:rPr>
              <w:t>e</w:t>
            </w:r>
            <w:r w:rsidR="000F7F27">
              <w:rPr>
                <w:sz w:val="20"/>
                <w:szCs w:val="20"/>
              </w:rPr>
              <w:t xml:space="preserve"> provided in the lecture</w:t>
            </w:r>
            <w:r w:rsidR="00730EEA">
              <w:rPr>
                <w:sz w:val="20"/>
                <w:szCs w:val="20"/>
              </w:rPr>
              <w:t xml:space="preserve"> and then present this activity to his/her fellow students</w:t>
            </w:r>
            <w:r w:rsidR="000F7F27">
              <w:rPr>
                <w:sz w:val="20"/>
                <w:szCs w:val="20"/>
              </w:rPr>
              <w:t xml:space="preserve">. </w:t>
            </w:r>
            <w:r w:rsidR="0028496B">
              <w:rPr>
                <w:sz w:val="20"/>
                <w:szCs w:val="20"/>
              </w:rPr>
              <w:t>It is during these presentations that the curriculum materials are used.</w:t>
            </w:r>
          </w:p>
        </w:tc>
      </w:tr>
    </w:tbl>
    <w:p w:rsidR="003E3FF8" w:rsidRPr="002D6F81" w:rsidRDefault="003E3FF8" w:rsidP="00E06E60">
      <w:pPr>
        <w:rPr>
          <w:sz w:val="22"/>
          <w:szCs w:val="22"/>
        </w:rPr>
      </w:pPr>
    </w:p>
    <w:p w:rsidR="003E3FF8" w:rsidRPr="002D6F81" w:rsidRDefault="003E3FF8" w:rsidP="00E06E60">
      <w:pPr>
        <w:pStyle w:val="ListParagraph"/>
        <w:rPr>
          <w:sz w:val="22"/>
          <w:szCs w:val="22"/>
        </w:rPr>
      </w:pPr>
    </w:p>
    <w:p w:rsidR="003E3FF8" w:rsidRPr="005A057A" w:rsidRDefault="003E3FF8" w:rsidP="00E06E60">
      <w:pPr>
        <w:pStyle w:val="ListParagraph"/>
        <w:numPr>
          <w:ilvl w:val="0"/>
          <w:numId w:val="4"/>
        </w:numPr>
        <w:rPr>
          <w:sz w:val="22"/>
          <w:szCs w:val="22"/>
        </w:rPr>
      </w:pPr>
      <w:r w:rsidRPr="002D6F81">
        <w:rPr>
          <w:sz w:val="22"/>
          <w:szCs w:val="22"/>
        </w:rPr>
        <w:lastRenderedPageBreak/>
        <w:t>Evaluation of related costs (</w:t>
      </w:r>
      <w:r w:rsidRPr="002D6F81">
        <w:rPr>
          <w:color w:val="000000"/>
          <w:sz w:val="22"/>
          <w:szCs w:val="22"/>
        </w:rPr>
        <w:t>including any ongoing maintenance or updates) and identification of any alternative or ongoing funding sources. (for example Department Budget, VTEA or Perkins)</w:t>
      </w:r>
    </w:p>
    <w:p w:rsidR="005A057A" w:rsidRPr="002D6F81" w:rsidRDefault="005A057A" w:rsidP="005A057A">
      <w:pPr>
        <w:pStyle w:val="ListParagrap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E3FF8" w:rsidRPr="008B3D4E" w:rsidTr="008B3D4E">
        <w:tc>
          <w:tcPr>
            <w:tcW w:w="9576" w:type="dxa"/>
          </w:tcPr>
          <w:p w:rsidR="003E3FF8" w:rsidRPr="00C3351F" w:rsidRDefault="00C3351F" w:rsidP="00C3351F">
            <w:pPr>
              <w:autoSpaceDE w:val="0"/>
              <w:autoSpaceDN w:val="0"/>
              <w:adjustRightInd w:val="0"/>
              <w:rPr>
                <w:sz w:val="20"/>
                <w:szCs w:val="20"/>
              </w:rPr>
            </w:pPr>
            <w:r>
              <w:rPr>
                <w:sz w:val="20"/>
                <w:szCs w:val="20"/>
              </w:rPr>
              <w:t>Our request is for two 72hx24dx72w shelving units at $138.97 each (one for each room) and four                36h x16.58d x33w storage units on wheels at 79.97 each (two for each room) for an approximate total of $650.13. There are no additional funding sources and no ongoing maintenance required.</w:t>
            </w:r>
          </w:p>
        </w:tc>
      </w:tr>
    </w:tbl>
    <w:p w:rsidR="003E3FF8" w:rsidRPr="002D6F81" w:rsidRDefault="003E3FF8" w:rsidP="00E06E60">
      <w:pPr>
        <w:rPr>
          <w:sz w:val="22"/>
          <w:szCs w:val="22"/>
        </w:rPr>
      </w:pPr>
    </w:p>
    <w:p w:rsidR="003E3FF8" w:rsidRPr="002D6F81" w:rsidRDefault="003E3FF8" w:rsidP="00E06E60">
      <w:pPr>
        <w:pStyle w:val="ListParagraph"/>
        <w:numPr>
          <w:ilvl w:val="0"/>
          <w:numId w:val="4"/>
        </w:numPr>
        <w:rPr>
          <w:sz w:val="22"/>
          <w:szCs w:val="22"/>
        </w:rPr>
      </w:pPr>
      <w:r w:rsidRPr="002D6F81">
        <w:rPr>
          <w:sz w:val="22"/>
          <w:szCs w:val="22"/>
        </w:rPr>
        <w:t>What are the consequences of not funding this equipment?</w:t>
      </w:r>
      <w:r w:rsidRPr="002D6F81">
        <w:rPr>
          <w:sz w:val="22"/>
          <w:szCs w:val="22"/>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E3FF8" w:rsidRPr="008B3D4E" w:rsidTr="008B3D4E">
        <w:tc>
          <w:tcPr>
            <w:tcW w:w="9576" w:type="dxa"/>
          </w:tcPr>
          <w:p w:rsidR="003E3FF8" w:rsidRPr="008B3D4E" w:rsidRDefault="000F7F27" w:rsidP="00DA0A7F">
            <w:pPr>
              <w:rPr>
                <w:sz w:val="22"/>
                <w:szCs w:val="22"/>
              </w:rPr>
            </w:pPr>
            <w:r>
              <w:rPr>
                <w:sz w:val="22"/>
                <w:szCs w:val="22"/>
              </w:rPr>
              <w:t>There are two challenges: s</w:t>
            </w:r>
            <w:r w:rsidR="001A5532">
              <w:rPr>
                <w:sz w:val="22"/>
                <w:szCs w:val="22"/>
              </w:rPr>
              <w:t xml:space="preserve">tudents need access to a variety of supplies and materials necessary to complete the required assignments. These materials can be made available to them if they could be displayed </w:t>
            </w:r>
            <w:r w:rsidR="00F30EDA">
              <w:rPr>
                <w:sz w:val="22"/>
                <w:szCs w:val="22"/>
              </w:rPr>
              <w:t xml:space="preserve">on shelves as opposed to storage boxes. </w:t>
            </w:r>
            <w:r w:rsidR="001A5532">
              <w:rPr>
                <w:sz w:val="22"/>
                <w:szCs w:val="22"/>
              </w:rPr>
              <w:t xml:space="preserve">Without access students would have to </w:t>
            </w:r>
            <w:r>
              <w:rPr>
                <w:sz w:val="22"/>
                <w:szCs w:val="22"/>
              </w:rPr>
              <w:t>purchase curriculum supplies</w:t>
            </w:r>
            <w:r w:rsidR="00EE77E3">
              <w:rPr>
                <w:sz w:val="22"/>
                <w:szCs w:val="22"/>
              </w:rPr>
              <w:t xml:space="preserve"> out of their own pocket</w:t>
            </w:r>
            <w:r>
              <w:rPr>
                <w:sz w:val="22"/>
                <w:szCs w:val="22"/>
              </w:rPr>
              <w:t>. Th</w:t>
            </w:r>
            <w:r w:rsidR="001A5532">
              <w:rPr>
                <w:sz w:val="22"/>
                <w:szCs w:val="22"/>
              </w:rPr>
              <w:t xml:space="preserve">e additional costs associated with taking our curriculum classes would </w:t>
            </w:r>
            <w:r>
              <w:rPr>
                <w:sz w:val="22"/>
                <w:szCs w:val="22"/>
              </w:rPr>
              <w:t>pose</w:t>
            </w:r>
            <w:r w:rsidR="001A5532">
              <w:rPr>
                <w:sz w:val="22"/>
                <w:szCs w:val="22"/>
              </w:rPr>
              <w:t xml:space="preserve"> an unnecessary hardship </w:t>
            </w:r>
            <w:r>
              <w:rPr>
                <w:sz w:val="22"/>
                <w:szCs w:val="22"/>
              </w:rPr>
              <w:t>f</w:t>
            </w:r>
            <w:r w:rsidR="001A5532">
              <w:rPr>
                <w:sz w:val="22"/>
                <w:szCs w:val="22"/>
              </w:rPr>
              <w:t>o</w:t>
            </w:r>
            <w:r>
              <w:rPr>
                <w:sz w:val="22"/>
                <w:szCs w:val="22"/>
              </w:rPr>
              <w:t xml:space="preserve">r many of our students. Additionally those instructors that utilize hands on materials to reinforce </w:t>
            </w:r>
            <w:r w:rsidR="00EE77E3">
              <w:rPr>
                <w:sz w:val="22"/>
                <w:szCs w:val="22"/>
              </w:rPr>
              <w:t xml:space="preserve">their </w:t>
            </w:r>
            <w:r>
              <w:rPr>
                <w:sz w:val="22"/>
                <w:szCs w:val="22"/>
              </w:rPr>
              <w:t>lecture</w:t>
            </w:r>
            <w:r w:rsidR="00EE77E3">
              <w:rPr>
                <w:sz w:val="22"/>
                <w:szCs w:val="22"/>
              </w:rPr>
              <w:t>s</w:t>
            </w:r>
            <w:r>
              <w:rPr>
                <w:sz w:val="22"/>
                <w:szCs w:val="22"/>
              </w:rPr>
              <w:t xml:space="preserve"> are now placed at a disadvantage. </w:t>
            </w:r>
            <w:r w:rsidR="00EE77E3">
              <w:rPr>
                <w:sz w:val="22"/>
                <w:szCs w:val="22"/>
              </w:rPr>
              <w:t>Each time an instructor wants to do a group project they have to spend a</w:t>
            </w:r>
            <w:r>
              <w:rPr>
                <w:sz w:val="22"/>
                <w:szCs w:val="22"/>
              </w:rPr>
              <w:t xml:space="preserve">n inordinate amount of time going through boxes </w:t>
            </w:r>
            <w:r w:rsidR="00EE77E3">
              <w:rPr>
                <w:sz w:val="22"/>
                <w:szCs w:val="22"/>
              </w:rPr>
              <w:t xml:space="preserve">to find the necessary materials.  </w:t>
            </w:r>
            <w:r>
              <w:rPr>
                <w:sz w:val="22"/>
                <w:szCs w:val="22"/>
              </w:rPr>
              <w:t xml:space="preserve">Once materials are located and used for demonstration </w:t>
            </w:r>
            <w:r w:rsidR="00EE77E3">
              <w:rPr>
                <w:sz w:val="22"/>
                <w:szCs w:val="22"/>
              </w:rPr>
              <w:t xml:space="preserve">they have to be placed back into bankers boxes instead of being unpacked because there’s no place to put them.  </w:t>
            </w:r>
            <w:r>
              <w:rPr>
                <w:sz w:val="22"/>
                <w:szCs w:val="22"/>
              </w:rPr>
              <w:t xml:space="preserve"> </w:t>
            </w:r>
          </w:p>
        </w:tc>
      </w:tr>
    </w:tbl>
    <w:p w:rsidR="003B4FDE" w:rsidRDefault="003B4FDE" w:rsidP="0059174E">
      <w:pPr>
        <w:rPr>
          <w:color w:val="2A2A2A"/>
          <w:sz w:val="20"/>
          <w:szCs w:val="20"/>
        </w:rPr>
      </w:pPr>
    </w:p>
    <w:p w:rsidR="003B4FDE" w:rsidRPr="003B4FDE" w:rsidRDefault="003B4FDE" w:rsidP="0059174E">
      <w:pPr>
        <w:rPr>
          <w:color w:val="2A2A2A"/>
          <w:sz w:val="20"/>
          <w:szCs w:val="20"/>
        </w:rPr>
      </w:pPr>
      <w:r w:rsidRPr="003B4FDE">
        <w:rPr>
          <w:color w:val="2A2A2A"/>
          <w:sz w:val="20"/>
          <w:szCs w:val="20"/>
        </w:rPr>
        <w:t>Existing Storage space NH 219</w:t>
      </w:r>
    </w:p>
    <w:p w:rsidR="003B4FDE" w:rsidRDefault="003B4FDE" w:rsidP="0059174E">
      <w:pPr>
        <w:rPr>
          <w:rFonts w:ascii="Tahoma" w:hAnsi="Tahoma" w:cs="Tahoma"/>
          <w:color w:val="2A2A2A"/>
          <w:sz w:val="20"/>
          <w:szCs w:val="20"/>
        </w:rPr>
      </w:pPr>
      <w:r>
        <w:rPr>
          <w:rFonts w:ascii="Tahoma" w:hAnsi="Tahoma" w:cs="Tahoma"/>
          <w:color w:val="2A2A2A"/>
          <w:sz w:val="20"/>
          <w:szCs w:val="20"/>
        </w:rPr>
        <w:t xml:space="preserve"> </w:t>
      </w:r>
    </w:p>
    <w:p w:rsidR="003E3FF8" w:rsidRDefault="001E76CD" w:rsidP="0059174E">
      <w:r>
        <w:rPr>
          <w:rFonts w:ascii="Tahoma" w:hAnsi="Tahoma" w:cs="Tahoma"/>
          <w:noProof/>
          <w:color w:val="2A2A2A"/>
          <w:sz w:val="20"/>
          <w:szCs w:val="20"/>
        </w:rPr>
        <w:drawing>
          <wp:inline distT="0" distB="0" distL="0" distR="0">
            <wp:extent cx="1546860" cy="1752600"/>
            <wp:effectExtent l="19050" t="0" r="0" b="0"/>
            <wp:docPr id="1" name="Picture 1" descr="Photo0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0042[1]"/>
                    <pic:cNvPicPr>
                      <a:picLocks noChangeAspect="1" noChangeArrowheads="1"/>
                    </pic:cNvPicPr>
                  </pic:nvPicPr>
                  <pic:blipFill>
                    <a:blip r:embed="rId7"/>
                    <a:srcRect/>
                    <a:stretch>
                      <a:fillRect/>
                    </a:stretch>
                  </pic:blipFill>
                  <pic:spPr bwMode="auto">
                    <a:xfrm>
                      <a:off x="0" y="0"/>
                      <a:ext cx="1546860" cy="1752600"/>
                    </a:xfrm>
                    <a:prstGeom prst="rect">
                      <a:avLst/>
                    </a:prstGeom>
                    <a:noFill/>
                    <a:ln w="9525">
                      <a:noFill/>
                      <a:miter lim="800000"/>
                      <a:headEnd/>
                      <a:tailEnd/>
                    </a:ln>
                  </pic:spPr>
                </pic:pic>
              </a:graphicData>
            </a:graphic>
          </wp:inline>
        </w:drawing>
      </w:r>
      <w:r w:rsidR="00E76858">
        <w:rPr>
          <w:rFonts w:ascii="Tahoma" w:hAnsi="Tahoma" w:cs="Tahoma"/>
          <w:color w:val="2A2A2A"/>
          <w:sz w:val="20"/>
          <w:szCs w:val="20"/>
        </w:rPr>
        <w:t xml:space="preserve">  </w:t>
      </w:r>
      <w:r w:rsidR="002D4BB7">
        <w:rPr>
          <w:rFonts w:ascii="Tahoma" w:hAnsi="Tahoma" w:cs="Tahoma"/>
          <w:color w:val="2A2A2A"/>
          <w:sz w:val="20"/>
          <w:szCs w:val="20"/>
        </w:rPr>
        <w:t xml:space="preserve">     </w:t>
      </w:r>
      <w:r w:rsidR="005A057A">
        <w:rPr>
          <w:rFonts w:ascii="Tahoma" w:hAnsi="Tahoma" w:cs="Tahoma"/>
          <w:color w:val="2A2A2A"/>
          <w:sz w:val="20"/>
          <w:szCs w:val="20"/>
        </w:rPr>
        <w:t xml:space="preserve">   </w:t>
      </w:r>
      <w:r w:rsidR="002D4BB7">
        <w:rPr>
          <w:rFonts w:ascii="Tahoma" w:hAnsi="Tahoma" w:cs="Tahoma"/>
          <w:color w:val="2A2A2A"/>
          <w:sz w:val="20"/>
          <w:szCs w:val="20"/>
        </w:rPr>
        <w:t xml:space="preserve">  </w:t>
      </w:r>
      <w:r w:rsidR="00E76858">
        <w:rPr>
          <w:rFonts w:ascii="Tahoma" w:hAnsi="Tahoma" w:cs="Tahoma"/>
          <w:color w:val="2A2A2A"/>
          <w:sz w:val="20"/>
          <w:szCs w:val="20"/>
        </w:rPr>
        <w:t xml:space="preserve"> </w:t>
      </w:r>
      <w:r w:rsidR="00E76858">
        <w:t xml:space="preserve"> </w:t>
      </w:r>
      <w:r>
        <w:rPr>
          <w:noProof/>
        </w:rPr>
        <w:drawing>
          <wp:inline distT="0" distB="0" distL="0" distR="0">
            <wp:extent cx="1478280" cy="1706880"/>
            <wp:effectExtent l="19050" t="0" r="7620" b="0"/>
            <wp:docPr id="2" name="Picture 2" descr="Photo0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0038[1]"/>
                    <pic:cNvPicPr>
                      <a:picLocks noChangeAspect="1" noChangeArrowheads="1"/>
                    </pic:cNvPicPr>
                  </pic:nvPicPr>
                  <pic:blipFill>
                    <a:blip r:embed="rId8"/>
                    <a:srcRect/>
                    <a:stretch>
                      <a:fillRect/>
                    </a:stretch>
                  </pic:blipFill>
                  <pic:spPr bwMode="auto">
                    <a:xfrm>
                      <a:off x="0" y="0"/>
                      <a:ext cx="1478280" cy="1706880"/>
                    </a:xfrm>
                    <a:prstGeom prst="rect">
                      <a:avLst/>
                    </a:prstGeom>
                    <a:noFill/>
                    <a:ln w="9525">
                      <a:noFill/>
                      <a:miter lim="800000"/>
                      <a:headEnd/>
                      <a:tailEnd/>
                    </a:ln>
                  </pic:spPr>
                </pic:pic>
              </a:graphicData>
            </a:graphic>
          </wp:inline>
        </w:drawing>
      </w:r>
      <w:r w:rsidR="003B4FDE">
        <w:t xml:space="preserve"> </w:t>
      </w:r>
      <w:r w:rsidR="005A057A">
        <w:t xml:space="preserve">          </w:t>
      </w:r>
      <w:r w:rsidR="002D4BB7">
        <w:t xml:space="preserve">      </w:t>
      </w:r>
      <w:r>
        <w:rPr>
          <w:noProof/>
        </w:rPr>
        <w:drawing>
          <wp:inline distT="0" distB="0" distL="0" distR="0">
            <wp:extent cx="1562100" cy="1706880"/>
            <wp:effectExtent l="19050" t="0" r="0" b="0"/>
            <wp:docPr id="3" name="Picture 3" descr="Storage 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age VII"/>
                    <pic:cNvPicPr>
                      <a:picLocks noChangeAspect="1" noChangeArrowheads="1"/>
                    </pic:cNvPicPr>
                  </pic:nvPicPr>
                  <pic:blipFill>
                    <a:blip r:embed="rId9"/>
                    <a:srcRect/>
                    <a:stretch>
                      <a:fillRect/>
                    </a:stretch>
                  </pic:blipFill>
                  <pic:spPr bwMode="auto">
                    <a:xfrm>
                      <a:off x="0" y="0"/>
                      <a:ext cx="1562100" cy="1706880"/>
                    </a:xfrm>
                    <a:prstGeom prst="rect">
                      <a:avLst/>
                    </a:prstGeom>
                    <a:noFill/>
                    <a:ln w="9525">
                      <a:noFill/>
                      <a:miter lim="800000"/>
                      <a:headEnd/>
                      <a:tailEnd/>
                    </a:ln>
                  </pic:spPr>
                </pic:pic>
              </a:graphicData>
            </a:graphic>
          </wp:inline>
        </w:drawing>
      </w:r>
    </w:p>
    <w:p w:rsidR="00332A44" w:rsidRDefault="00332A44" w:rsidP="0059174E"/>
    <w:p w:rsidR="003B4FDE" w:rsidRPr="003B4FDE" w:rsidRDefault="003B4FDE" w:rsidP="003B4FDE">
      <w:pPr>
        <w:rPr>
          <w:color w:val="2A2A2A"/>
          <w:sz w:val="20"/>
          <w:szCs w:val="20"/>
        </w:rPr>
      </w:pPr>
      <w:r w:rsidRPr="003B4FDE">
        <w:rPr>
          <w:color w:val="2A2A2A"/>
          <w:sz w:val="20"/>
          <w:szCs w:val="20"/>
        </w:rPr>
        <w:t>Existing Storage space NH 2</w:t>
      </w:r>
      <w:r w:rsidR="002D4BB7">
        <w:rPr>
          <w:color w:val="2A2A2A"/>
          <w:sz w:val="20"/>
          <w:szCs w:val="20"/>
        </w:rPr>
        <w:t>20</w:t>
      </w:r>
    </w:p>
    <w:p w:rsidR="003E3FF8" w:rsidRDefault="001E76CD" w:rsidP="0059174E">
      <w:r>
        <w:rPr>
          <w:noProof/>
        </w:rPr>
        <w:drawing>
          <wp:inline distT="0" distB="0" distL="0" distR="0">
            <wp:extent cx="1524000" cy="1714500"/>
            <wp:effectExtent l="19050" t="0" r="0" b="0"/>
            <wp:docPr id="4" name="Picture 4" descr="Stor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age 220"/>
                    <pic:cNvPicPr>
                      <a:picLocks noChangeAspect="1" noChangeArrowheads="1"/>
                    </pic:cNvPicPr>
                  </pic:nvPicPr>
                  <pic:blipFill>
                    <a:blip r:embed="rId10"/>
                    <a:srcRect/>
                    <a:stretch>
                      <a:fillRect/>
                    </a:stretch>
                  </pic:blipFill>
                  <pic:spPr bwMode="auto">
                    <a:xfrm>
                      <a:off x="0" y="0"/>
                      <a:ext cx="1524000" cy="1714500"/>
                    </a:xfrm>
                    <a:prstGeom prst="rect">
                      <a:avLst/>
                    </a:prstGeom>
                    <a:noFill/>
                    <a:ln w="9525">
                      <a:noFill/>
                      <a:miter lim="800000"/>
                      <a:headEnd/>
                      <a:tailEnd/>
                    </a:ln>
                  </pic:spPr>
                </pic:pic>
              </a:graphicData>
            </a:graphic>
          </wp:inline>
        </w:drawing>
      </w:r>
      <w:r w:rsidR="002D4BB7">
        <w:t xml:space="preserve">                               </w:t>
      </w:r>
      <w:r>
        <w:rPr>
          <w:rFonts w:ascii="Tahoma" w:hAnsi="Tahoma" w:cs="Tahoma"/>
          <w:noProof/>
          <w:color w:val="2A2A2A"/>
          <w:sz w:val="20"/>
          <w:szCs w:val="20"/>
        </w:rPr>
        <w:drawing>
          <wp:inline distT="0" distB="0" distL="0" distR="0">
            <wp:extent cx="2065020" cy="1645920"/>
            <wp:effectExtent l="19050" t="0" r="0" b="0"/>
            <wp:docPr id="5" name="Picture 5" descr="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rage"/>
                    <pic:cNvPicPr>
                      <a:picLocks noChangeAspect="1" noChangeArrowheads="1"/>
                    </pic:cNvPicPr>
                  </pic:nvPicPr>
                  <pic:blipFill>
                    <a:blip r:embed="rId11"/>
                    <a:srcRect/>
                    <a:stretch>
                      <a:fillRect/>
                    </a:stretch>
                  </pic:blipFill>
                  <pic:spPr bwMode="auto">
                    <a:xfrm>
                      <a:off x="0" y="0"/>
                      <a:ext cx="2065020" cy="1645920"/>
                    </a:xfrm>
                    <a:prstGeom prst="rect">
                      <a:avLst/>
                    </a:prstGeom>
                    <a:noFill/>
                    <a:ln w="9525">
                      <a:noFill/>
                      <a:miter lim="800000"/>
                      <a:headEnd/>
                      <a:tailEnd/>
                    </a:ln>
                  </pic:spPr>
                </pic:pic>
              </a:graphicData>
            </a:graphic>
          </wp:inline>
        </w:drawing>
      </w:r>
    </w:p>
    <w:p w:rsidR="005A057A" w:rsidRDefault="005A057A" w:rsidP="0059174E"/>
    <w:p w:rsidR="00E76858" w:rsidRDefault="00DA0A7F" w:rsidP="0059174E">
      <w:r>
        <w:rPr>
          <w:noProof/>
        </w:rPr>
        <w:pict>
          <v:shapetype id="_x0000_t32" coordsize="21600,21600" o:spt="32" o:oned="t" path="m,l21600,21600e" filled="f">
            <v:path arrowok="t" fillok="f" o:connecttype="none"/>
            <o:lock v:ext="edit" shapetype="t"/>
          </v:shapetype>
          <v:shape id="_x0000_s1026" type="#_x0000_t32" style="position:absolute;margin-left:99pt;margin-top:47.15pt;width:168.75pt;height:56.1pt;flip:x;z-index:251657728" o:connectortype="straight">
            <v:stroke endarrow="block"/>
          </v:shape>
        </w:pict>
      </w:r>
      <w:r w:rsidR="001E76CD">
        <w:rPr>
          <w:noProof/>
        </w:rPr>
        <w:drawing>
          <wp:inline distT="0" distB="0" distL="0" distR="0">
            <wp:extent cx="2026920" cy="1524000"/>
            <wp:effectExtent l="19050" t="0" r="0" b="0"/>
            <wp:docPr id="6" name="Picture 6" descr="Storage She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rage Shelving"/>
                    <pic:cNvPicPr>
                      <a:picLocks noChangeAspect="1" noChangeArrowheads="1"/>
                    </pic:cNvPicPr>
                  </pic:nvPicPr>
                  <pic:blipFill>
                    <a:blip r:embed="rId12"/>
                    <a:srcRect/>
                    <a:stretch>
                      <a:fillRect/>
                    </a:stretch>
                  </pic:blipFill>
                  <pic:spPr bwMode="auto">
                    <a:xfrm>
                      <a:off x="0" y="0"/>
                      <a:ext cx="2026920" cy="1524000"/>
                    </a:xfrm>
                    <a:prstGeom prst="rect">
                      <a:avLst/>
                    </a:prstGeom>
                    <a:noFill/>
                    <a:ln w="9525">
                      <a:noFill/>
                      <a:miter lim="800000"/>
                      <a:headEnd/>
                      <a:tailEnd/>
                    </a:ln>
                  </pic:spPr>
                </pic:pic>
              </a:graphicData>
            </a:graphic>
          </wp:inline>
        </w:drawing>
      </w:r>
      <w:r>
        <w:t xml:space="preserve"> </w:t>
      </w:r>
      <w:r w:rsidR="002D4BB7">
        <w:t xml:space="preserve">       </w:t>
      </w:r>
      <w:r w:rsidR="005A057A">
        <w:t xml:space="preserve">               </w:t>
      </w:r>
      <w:r w:rsidR="001E76CD">
        <w:rPr>
          <w:noProof/>
        </w:rPr>
        <w:drawing>
          <wp:inline distT="0" distB="0" distL="0" distR="0">
            <wp:extent cx="1676400" cy="1508760"/>
            <wp:effectExtent l="19050" t="0" r="0" b="0"/>
            <wp:docPr id="7" name="Picture 7" descr="Small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ll storage"/>
                    <pic:cNvPicPr>
                      <a:picLocks noChangeAspect="1" noChangeArrowheads="1"/>
                    </pic:cNvPicPr>
                  </pic:nvPicPr>
                  <pic:blipFill>
                    <a:blip r:embed="rId13"/>
                    <a:srcRect l="12675" r="4695" b="10625"/>
                    <a:stretch>
                      <a:fillRect/>
                    </a:stretch>
                  </pic:blipFill>
                  <pic:spPr bwMode="auto">
                    <a:xfrm>
                      <a:off x="0" y="0"/>
                      <a:ext cx="1676400" cy="1508760"/>
                    </a:xfrm>
                    <a:prstGeom prst="rect">
                      <a:avLst/>
                    </a:prstGeom>
                    <a:noFill/>
                    <a:ln w="9525">
                      <a:noFill/>
                      <a:miter lim="800000"/>
                      <a:headEnd/>
                      <a:tailEnd/>
                    </a:ln>
                  </pic:spPr>
                </pic:pic>
              </a:graphicData>
            </a:graphic>
          </wp:inline>
        </w:drawing>
      </w:r>
    </w:p>
    <w:p w:rsidR="00DA0A7F" w:rsidRDefault="00DA0A7F" w:rsidP="0059174E">
      <w:pPr>
        <w:rPr>
          <w:sz w:val="20"/>
          <w:szCs w:val="20"/>
        </w:rPr>
      </w:pPr>
      <w:r>
        <w:rPr>
          <w:sz w:val="20"/>
          <w:szCs w:val="20"/>
        </w:rPr>
        <w:t xml:space="preserve">        (2)  72hx24dx72w                              </w:t>
      </w:r>
      <w:r w:rsidR="005A057A">
        <w:rPr>
          <w:sz w:val="20"/>
          <w:szCs w:val="20"/>
        </w:rPr>
        <w:t xml:space="preserve">                        </w:t>
      </w:r>
      <w:r>
        <w:rPr>
          <w:sz w:val="20"/>
          <w:szCs w:val="20"/>
        </w:rPr>
        <w:t xml:space="preserve"> (4) 36h x16.58d x33w </w:t>
      </w:r>
    </w:p>
    <w:p w:rsidR="00E76858" w:rsidRDefault="00DA0A7F" w:rsidP="0059174E">
      <w:r>
        <w:rPr>
          <w:sz w:val="20"/>
          <w:szCs w:val="20"/>
        </w:rPr>
        <w:t xml:space="preserve">          </w:t>
      </w:r>
      <w:r w:rsidR="005A057A">
        <w:rPr>
          <w:sz w:val="20"/>
          <w:szCs w:val="20"/>
        </w:rPr>
        <w:t xml:space="preserve"> </w:t>
      </w:r>
      <w:r>
        <w:rPr>
          <w:sz w:val="20"/>
          <w:szCs w:val="20"/>
        </w:rPr>
        <w:t xml:space="preserve"> Shelving unit                          </w:t>
      </w:r>
      <w:r w:rsidR="005A057A">
        <w:rPr>
          <w:sz w:val="20"/>
          <w:szCs w:val="20"/>
        </w:rPr>
        <w:t xml:space="preserve">                   </w:t>
      </w:r>
      <w:r>
        <w:rPr>
          <w:sz w:val="20"/>
          <w:szCs w:val="20"/>
        </w:rPr>
        <w:t xml:space="preserve"> (this unit slides under the last row of shelving)</w:t>
      </w:r>
    </w:p>
    <w:sectPr w:rsidR="00E76858" w:rsidSect="00332A44">
      <w:pgSz w:w="12240" w:h="15840"/>
      <w:pgMar w:top="27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DDE" w:rsidRDefault="00962DDE" w:rsidP="0056196B">
      <w:r>
        <w:separator/>
      </w:r>
    </w:p>
  </w:endnote>
  <w:endnote w:type="continuationSeparator" w:id="0">
    <w:p w:rsidR="00962DDE" w:rsidRDefault="00962DDE"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DDE" w:rsidRDefault="00962DDE" w:rsidP="0056196B">
      <w:r>
        <w:separator/>
      </w:r>
    </w:p>
  </w:footnote>
  <w:footnote w:type="continuationSeparator" w:id="0">
    <w:p w:rsidR="00962DDE" w:rsidRDefault="00962DDE"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720" w:hanging="360"/>
      </w:pPr>
      <w:rPr>
        <w:rFonts w:cs="Times New Roman" w:hint="default"/>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B6AA5"/>
    <w:rsid w:val="00053D44"/>
    <w:rsid w:val="000769B5"/>
    <w:rsid w:val="000F7F27"/>
    <w:rsid w:val="00107505"/>
    <w:rsid w:val="001110E3"/>
    <w:rsid w:val="00152F63"/>
    <w:rsid w:val="00176C34"/>
    <w:rsid w:val="001871CE"/>
    <w:rsid w:val="001A5532"/>
    <w:rsid w:val="001E76CD"/>
    <w:rsid w:val="0020018D"/>
    <w:rsid w:val="00225A40"/>
    <w:rsid w:val="00243290"/>
    <w:rsid w:val="00264DF6"/>
    <w:rsid w:val="0028496B"/>
    <w:rsid w:val="002D4BB7"/>
    <w:rsid w:val="002D6F81"/>
    <w:rsid w:val="00332A44"/>
    <w:rsid w:val="00354A77"/>
    <w:rsid w:val="00386237"/>
    <w:rsid w:val="003B4FDE"/>
    <w:rsid w:val="003E3FF8"/>
    <w:rsid w:val="00445532"/>
    <w:rsid w:val="004A288B"/>
    <w:rsid w:val="004A640B"/>
    <w:rsid w:val="004A65E1"/>
    <w:rsid w:val="004E61C1"/>
    <w:rsid w:val="005051CA"/>
    <w:rsid w:val="0056196B"/>
    <w:rsid w:val="005676C5"/>
    <w:rsid w:val="00575845"/>
    <w:rsid w:val="0058204E"/>
    <w:rsid w:val="0059174E"/>
    <w:rsid w:val="005A057A"/>
    <w:rsid w:val="006043C9"/>
    <w:rsid w:val="0062203D"/>
    <w:rsid w:val="00630E73"/>
    <w:rsid w:val="006832EF"/>
    <w:rsid w:val="006A2DDF"/>
    <w:rsid w:val="006E4BD6"/>
    <w:rsid w:val="00730EEA"/>
    <w:rsid w:val="007523E0"/>
    <w:rsid w:val="00777318"/>
    <w:rsid w:val="007E7D2A"/>
    <w:rsid w:val="007F2EF2"/>
    <w:rsid w:val="00803655"/>
    <w:rsid w:val="00860977"/>
    <w:rsid w:val="008B3D4E"/>
    <w:rsid w:val="00910FAA"/>
    <w:rsid w:val="009265FC"/>
    <w:rsid w:val="00931A6E"/>
    <w:rsid w:val="00962DDE"/>
    <w:rsid w:val="009D5AF9"/>
    <w:rsid w:val="009E57D4"/>
    <w:rsid w:val="00A118B0"/>
    <w:rsid w:val="00A41463"/>
    <w:rsid w:val="00AC7FFA"/>
    <w:rsid w:val="00AF3400"/>
    <w:rsid w:val="00B21741"/>
    <w:rsid w:val="00B36280"/>
    <w:rsid w:val="00BA6AB0"/>
    <w:rsid w:val="00BB3870"/>
    <w:rsid w:val="00BB6C68"/>
    <w:rsid w:val="00BC15F0"/>
    <w:rsid w:val="00C3351F"/>
    <w:rsid w:val="00CC1CD0"/>
    <w:rsid w:val="00D10295"/>
    <w:rsid w:val="00D15F96"/>
    <w:rsid w:val="00D5621F"/>
    <w:rsid w:val="00DA0A7F"/>
    <w:rsid w:val="00DA1567"/>
    <w:rsid w:val="00E026CC"/>
    <w:rsid w:val="00E06E60"/>
    <w:rsid w:val="00E66E2B"/>
    <w:rsid w:val="00E76858"/>
    <w:rsid w:val="00E867FA"/>
    <w:rsid w:val="00EE1C82"/>
    <w:rsid w:val="00EE2B83"/>
    <w:rsid w:val="00EE5D21"/>
    <w:rsid w:val="00EE77E3"/>
    <w:rsid w:val="00F22C18"/>
    <w:rsid w:val="00F30EDA"/>
    <w:rsid w:val="00F67E06"/>
    <w:rsid w:val="00F7407C"/>
    <w:rsid w:val="00FA4F51"/>
    <w:rsid w:val="00FB6AA5"/>
    <w:rsid w:val="00FC3FCC"/>
    <w:rsid w:val="00FD113C"/>
    <w:rsid w:val="00FE245B"/>
    <w:rsid w:val="00FE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923218">
      <w:marLeft w:val="0"/>
      <w:marRight w:val="0"/>
      <w:marTop w:val="0"/>
      <w:marBottom w:val="0"/>
      <w:divBdr>
        <w:top w:val="none" w:sz="0" w:space="0" w:color="auto"/>
        <w:left w:val="none" w:sz="0" w:space="0" w:color="auto"/>
        <w:bottom w:val="none" w:sz="0" w:space="0" w:color="auto"/>
        <w:right w:val="none" w:sz="0" w:space="0" w:color="auto"/>
      </w:divBdr>
    </w:div>
    <w:div w:id="210923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EQUIPMENT NEEDS ASSESSMENT APPLICATION</vt:lpstr>
    </vt:vector>
  </TitlesOfParts>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creator>Sheffield, Dr. Troy</dc:creator>
  <cp:lastModifiedBy>RefDesk</cp:lastModifiedBy>
  <cp:revision>2</cp:revision>
  <cp:lastPrinted>2010-10-16T04:54:00Z</cp:lastPrinted>
  <dcterms:created xsi:type="dcterms:W3CDTF">2010-10-18T15:41:00Z</dcterms:created>
  <dcterms:modified xsi:type="dcterms:W3CDTF">2010-10-18T15:41:00Z</dcterms:modified>
</cp:coreProperties>
</file>